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5B" w:rsidRDefault="00F05138" w:rsidP="00F05138">
      <w:pPr>
        <w:jc w:val="center"/>
      </w:pPr>
      <w:r w:rsidRPr="0033188F">
        <w:rPr>
          <w:b/>
          <w:sz w:val="28"/>
          <w:szCs w:val="28"/>
        </w:rPr>
        <w:t xml:space="preserve">Report of the California Senior Legislature </w:t>
      </w:r>
      <w:proofErr w:type="spellStart"/>
      <w:r w:rsidR="0052075B">
        <w:rPr>
          <w:b/>
          <w:sz w:val="28"/>
          <w:szCs w:val="28"/>
        </w:rPr>
        <w:t>Adhoc</w:t>
      </w:r>
      <w:proofErr w:type="spellEnd"/>
      <w:r w:rsidR="0052075B">
        <w:rPr>
          <w:b/>
          <w:sz w:val="28"/>
          <w:szCs w:val="28"/>
        </w:rPr>
        <w:t xml:space="preserve"> </w:t>
      </w:r>
      <w:r w:rsidRPr="0033188F">
        <w:rPr>
          <w:b/>
          <w:sz w:val="28"/>
          <w:szCs w:val="28"/>
        </w:rPr>
        <w:t xml:space="preserve">Bylaw Committee, </w:t>
      </w:r>
      <w:r w:rsidR="00F906BB">
        <w:rPr>
          <w:b/>
          <w:sz w:val="28"/>
          <w:szCs w:val="28"/>
        </w:rPr>
        <w:t>9</w:t>
      </w:r>
      <w:r w:rsidRPr="0033188F">
        <w:rPr>
          <w:b/>
          <w:sz w:val="28"/>
          <w:szCs w:val="28"/>
        </w:rPr>
        <w:t>/</w:t>
      </w:r>
      <w:r w:rsidR="00F906BB">
        <w:rPr>
          <w:b/>
          <w:sz w:val="28"/>
          <w:szCs w:val="28"/>
        </w:rPr>
        <w:t>10</w:t>
      </w:r>
      <w:r w:rsidRPr="0033188F">
        <w:rPr>
          <w:b/>
          <w:sz w:val="28"/>
          <w:szCs w:val="28"/>
        </w:rPr>
        <w:t>/1</w:t>
      </w:r>
      <w:r w:rsidR="00F906BB">
        <w:rPr>
          <w:b/>
          <w:sz w:val="28"/>
          <w:szCs w:val="28"/>
        </w:rPr>
        <w:t>9</w:t>
      </w:r>
    </w:p>
    <w:tbl>
      <w:tblPr>
        <w:tblStyle w:val="TableGrid"/>
        <w:tblpPr w:leftFromText="180" w:rightFromText="180" w:vertAnchor="page" w:horzAnchor="margin" w:tblpXSpec="center" w:tblpY="1309"/>
        <w:tblW w:w="0" w:type="auto"/>
        <w:tblLook w:val="04A0" w:firstRow="1" w:lastRow="0" w:firstColumn="1" w:lastColumn="0" w:noHBand="0" w:noVBand="1"/>
      </w:tblPr>
      <w:tblGrid>
        <w:gridCol w:w="1188"/>
        <w:gridCol w:w="990"/>
        <w:gridCol w:w="1350"/>
        <w:gridCol w:w="6048"/>
      </w:tblGrid>
      <w:tr w:rsidR="000A246A" w:rsidTr="000A246A">
        <w:tc>
          <w:tcPr>
            <w:tcW w:w="1188" w:type="dxa"/>
          </w:tcPr>
          <w:p w:rsidR="000A246A" w:rsidRDefault="000A246A" w:rsidP="000A246A">
            <w:r>
              <w:t>Proposal</w:t>
            </w:r>
          </w:p>
        </w:tc>
        <w:tc>
          <w:tcPr>
            <w:tcW w:w="990" w:type="dxa"/>
          </w:tcPr>
          <w:p w:rsidR="000A246A" w:rsidRDefault="000A246A" w:rsidP="000A246A">
            <w:r>
              <w:t xml:space="preserve">Article </w:t>
            </w:r>
          </w:p>
        </w:tc>
        <w:tc>
          <w:tcPr>
            <w:tcW w:w="1350" w:type="dxa"/>
          </w:tcPr>
          <w:p w:rsidR="000A246A" w:rsidRDefault="000A246A" w:rsidP="000A246A">
            <w:r>
              <w:t>Section</w:t>
            </w:r>
          </w:p>
        </w:tc>
        <w:tc>
          <w:tcPr>
            <w:tcW w:w="6048" w:type="dxa"/>
          </w:tcPr>
          <w:p w:rsidR="000A246A" w:rsidRDefault="000A246A" w:rsidP="000A246A">
            <w:r>
              <w:t>Recommendation</w:t>
            </w:r>
          </w:p>
        </w:tc>
      </w:tr>
      <w:tr w:rsidR="000A246A" w:rsidTr="000A246A">
        <w:tc>
          <w:tcPr>
            <w:tcW w:w="1188" w:type="dxa"/>
          </w:tcPr>
          <w:p w:rsidR="000A246A" w:rsidRDefault="000A246A" w:rsidP="000A246A">
            <w:pPr>
              <w:spacing w:line="276" w:lineRule="auto"/>
            </w:pPr>
            <w:r>
              <w:t>A</w:t>
            </w:r>
          </w:p>
        </w:tc>
        <w:tc>
          <w:tcPr>
            <w:tcW w:w="990" w:type="dxa"/>
          </w:tcPr>
          <w:p w:rsidR="000A246A" w:rsidRDefault="000A246A" w:rsidP="000A246A">
            <w:pPr>
              <w:spacing w:line="276" w:lineRule="auto"/>
            </w:pPr>
            <w:r>
              <w:t>VI</w:t>
            </w:r>
          </w:p>
        </w:tc>
        <w:tc>
          <w:tcPr>
            <w:tcW w:w="1350" w:type="dxa"/>
          </w:tcPr>
          <w:p w:rsidR="000A246A" w:rsidRDefault="000A246A" w:rsidP="000A246A">
            <w:pPr>
              <w:spacing w:line="276" w:lineRule="auto"/>
            </w:pPr>
            <w:r>
              <w:t>VI</w:t>
            </w:r>
          </w:p>
        </w:tc>
        <w:tc>
          <w:tcPr>
            <w:tcW w:w="6048" w:type="dxa"/>
          </w:tcPr>
          <w:p w:rsidR="000A246A" w:rsidRDefault="000A246A" w:rsidP="000A246A">
            <w:pPr>
              <w:spacing w:line="276" w:lineRule="auto"/>
            </w:pPr>
            <w:r>
              <w:t>Recommend Adoption</w:t>
            </w:r>
          </w:p>
        </w:tc>
      </w:tr>
      <w:tr w:rsidR="000A246A" w:rsidTr="000A246A">
        <w:tc>
          <w:tcPr>
            <w:tcW w:w="1188" w:type="dxa"/>
          </w:tcPr>
          <w:p w:rsidR="000A246A" w:rsidRDefault="000A246A" w:rsidP="000A246A">
            <w:pPr>
              <w:spacing w:line="276" w:lineRule="auto"/>
            </w:pPr>
            <w:r>
              <w:t>B</w:t>
            </w:r>
          </w:p>
        </w:tc>
        <w:tc>
          <w:tcPr>
            <w:tcW w:w="990" w:type="dxa"/>
          </w:tcPr>
          <w:p w:rsidR="000A246A" w:rsidRDefault="000A246A" w:rsidP="000A246A">
            <w:pPr>
              <w:spacing w:line="276" w:lineRule="auto"/>
            </w:pPr>
            <w:r>
              <w:t>VI</w:t>
            </w:r>
          </w:p>
        </w:tc>
        <w:tc>
          <w:tcPr>
            <w:tcW w:w="1350" w:type="dxa"/>
          </w:tcPr>
          <w:p w:rsidR="000A246A" w:rsidRDefault="000A246A" w:rsidP="000A246A">
            <w:pPr>
              <w:spacing w:line="276" w:lineRule="auto"/>
            </w:pPr>
            <w:r>
              <w:t>VI</w:t>
            </w:r>
          </w:p>
        </w:tc>
        <w:tc>
          <w:tcPr>
            <w:tcW w:w="6048" w:type="dxa"/>
          </w:tcPr>
          <w:p w:rsidR="000A246A" w:rsidRDefault="000A246A" w:rsidP="000A246A">
            <w:pPr>
              <w:spacing w:line="276" w:lineRule="auto"/>
            </w:pPr>
            <w:r>
              <w:t>Recommend Adoption</w:t>
            </w:r>
          </w:p>
        </w:tc>
      </w:tr>
      <w:tr w:rsidR="000A246A" w:rsidTr="000A246A">
        <w:tc>
          <w:tcPr>
            <w:tcW w:w="1188" w:type="dxa"/>
          </w:tcPr>
          <w:p w:rsidR="000A246A" w:rsidRDefault="000A246A" w:rsidP="000A246A">
            <w:pPr>
              <w:spacing w:line="276" w:lineRule="auto"/>
            </w:pPr>
            <w:r>
              <w:t>C</w:t>
            </w:r>
          </w:p>
        </w:tc>
        <w:tc>
          <w:tcPr>
            <w:tcW w:w="990" w:type="dxa"/>
          </w:tcPr>
          <w:p w:rsidR="000A246A" w:rsidRDefault="000A246A" w:rsidP="000A246A">
            <w:pPr>
              <w:spacing w:line="276" w:lineRule="auto"/>
            </w:pPr>
            <w:r>
              <w:t>VI</w:t>
            </w:r>
          </w:p>
        </w:tc>
        <w:tc>
          <w:tcPr>
            <w:tcW w:w="1350" w:type="dxa"/>
          </w:tcPr>
          <w:p w:rsidR="000A246A" w:rsidRDefault="000A246A" w:rsidP="000A246A">
            <w:pPr>
              <w:spacing w:line="276" w:lineRule="auto"/>
            </w:pPr>
            <w:r>
              <w:t>VI</w:t>
            </w:r>
          </w:p>
        </w:tc>
        <w:tc>
          <w:tcPr>
            <w:tcW w:w="6048" w:type="dxa"/>
          </w:tcPr>
          <w:p w:rsidR="000A246A" w:rsidRDefault="000A246A" w:rsidP="000A246A">
            <w:pPr>
              <w:spacing w:line="276" w:lineRule="auto"/>
            </w:pPr>
            <w:r>
              <w:t>Recommend Adoption</w:t>
            </w:r>
          </w:p>
        </w:tc>
      </w:tr>
      <w:tr w:rsidR="000A246A" w:rsidTr="000A246A">
        <w:tc>
          <w:tcPr>
            <w:tcW w:w="1188" w:type="dxa"/>
          </w:tcPr>
          <w:p w:rsidR="000A246A" w:rsidRDefault="000A246A" w:rsidP="000A246A">
            <w:pPr>
              <w:spacing w:line="276" w:lineRule="auto"/>
            </w:pPr>
            <w:r>
              <w:t>D</w:t>
            </w:r>
          </w:p>
        </w:tc>
        <w:tc>
          <w:tcPr>
            <w:tcW w:w="990" w:type="dxa"/>
          </w:tcPr>
          <w:p w:rsidR="000A246A" w:rsidRDefault="000A246A" w:rsidP="000A246A">
            <w:pPr>
              <w:spacing w:line="276" w:lineRule="auto"/>
            </w:pPr>
            <w:r>
              <w:t>III</w:t>
            </w:r>
          </w:p>
        </w:tc>
        <w:tc>
          <w:tcPr>
            <w:tcW w:w="1350" w:type="dxa"/>
          </w:tcPr>
          <w:p w:rsidR="000A246A" w:rsidRDefault="000A246A" w:rsidP="000A246A">
            <w:pPr>
              <w:spacing w:line="276" w:lineRule="auto"/>
            </w:pPr>
            <w:r>
              <w:t>I</w:t>
            </w:r>
          </w:p>
        </w:tc>
        <w:tc>
          <w:tcPr>
            <w:tcW w:w="6048" w:type="dxa"/>
          </w:tcPr>
          <w:p w:rsidR="000A246A" w:rsidRDefault="000A246A" w:rsidP="000A246A">
            <w:pPr>
              <w:spacing w:line="276" w:lineRule="auto"/>
            </w:pPr>
            <w:r>
              <w:t>Recommend Defeat</w:t>
            </w:r>
          </w:p>
          <w:p w:rsidR="000A246A" w:rsidRDefault="000A246A" w:rsidP="000A246A">
            <w:pPr>
              <w:spacing w:line="276" w:lineRule="auto"/>
            </w:pPr>
            <w:r>
              <w:t xml:space="preserve">Consider text changes, simple declarative sentences, strike redundant words and re-consider leaving the word </w:t>
            </w:r>
            <w:r w:rsidR="00FC31B5">
              <w:t>“</w:t>
            </w:r>
            <w:r>
              <w:t>educate</w:t>
            </w:r>
            <w:r w:rsidR="00FC31B5">
              <w:t>”</w:t>
            </w:r>
            <w:bookmarkStart w:id="0" w:name="_GoBack"/>
            <w:bookmarkEnd w:id="0"/>
            <w:r>
              <w:t>, as it has justified some funding/reimbursement in the past.</w:t>
            </w:r>
          </w:p>
        </w:tc>
      </w:tr>
      <w:tr w:rsidR="000A246A" w:rsidTr="000A246A">
        <w:tc>
          <w:tcPr>
            <w:tcW w:w="1188" w:type="dxa"/>
          </w:tcPr>
          <w:p w:rsidR="000A246A" w:rsidRDefault="000A246A" w:rsidP="000A246A">
            <w:pPr>
              <w:spacing w:line="276" w:lineRule="auto"/>
            </w:pPr>
            <w:r>
              <w:t>E</w:t>
            </w:r>
          </w:p>
        </w:tc>
        <w:tc>
          <w:tcPr>
            <w:tcW w:w="990" w:type="dxa"/>
          </w:tcPr>
          <w:p w:rsidR="000A246A" w:rsidRDefault="000A246A" w:rsidP="000A246A">
            <w:pPr>
              <w:spacing w:line="276" w:lineRule="auto"/>
            </w:pPr>
            <w:r>
              <w:t>IV</w:t>
            </w:r>
          </w:p>
        </w:tc>
        <w:tc>
          <w:tcPr>
            <w:tcW w:w="1350" w:type="dxa"/>
          </w:tcPr>
          <w:p w:rsidR="000A246A" w:rsidRDefault="000A246A" w:rsidP="000A246A">
            <w:pPr>
              <w:spacing w:line="276" w:lineRule="auto"/>
            </w:pPr>
            <w:r>
              <w:t>a</w:t>
            </w:r>
          </w:p>
        </w:tc>
        <w:tc>
          <w:tcPr>
            <w:tcW w:w="6048" w:type="dxa"/>
          </w:tcPr>
          <w:p w:rsidR="000A246A" w:rsidRDefault="000A246A" w:rsidP="000A246A">
            <w:pPr>
              <w:spacing w:line="276" w:lineRule="auto"/>
            </w:pPr>
            <w:r>
              <w:t>Recommend Defeat</w:t>
            </w:r>
          </w:p>
          <w:p w:rsidR="000A246A" w:rsidRDefault="000A246A" w:rsidP="000A246A">
            <w:pPr>
              <w:spacing w:line="276" w:lineRule="auto"/>
            </w:pPr>
            <w:r>
              <w:t xml:space="preserve">This is an Amendment to </w:t>
            </w:r>
            <w:r w:rsidRPr="00CA2A41">
              <w:t xml:space="preserve">the </w:t>
            </w:r>
            <w:r>
              <w:t>Administrative Manual not a Bylaw Amendment.  The age was updated in 2017 to 55 in the elections section of the manual.</w:t>
            </w:r>
          </w:p>
        </w:tc>
      </w:tr>
      <w:tr w:rsidR="000A246A" w:rsidTr="000A246A">
        <w:tc>
          <w:tcPr>
            <w:tcW w:w="1188" w:type="dxa"/>
          </w:tcPr>
          <w:p w:rsidR="000A246A" w:rsidRDefault="000A246A" w:rsidP="000A246A">
            <w:pPr>
              <w:spacing w:line="276" w:lineRule="auto"/>
            </w:pPr>
            <w:r>
              <w:t>F</w:t>
            </w:r>
          </w:p>
        </w:tc>
        <w:tc>
          <w:tcPr>
            <w:tcW w:w="990" w:type="dxa"/>
          </w:tcPr>
          <w:p w:rsidR="000A246A" w:rsidRDefault="000A246A" w:rsidP="000A246A">
            <w:pPr>
              <w:spacing w:line="276" w:lineRule="auto"/>
            </w:pPr>
            <w:r>
              <w:t>VII</w:t>
            </w:r>
          </w:p>
        </w:tc>
        <w:tc>
          <w:tcPr>
            <w:tcW w:w="1350" w:type="dxa"/>
          </w:tcPr>
          <w:p w:rsidR="000A246A" w:rsidRDefault="000A246A" w:rsidP="000A246A">
            <w:pPr>
              <w:spacing w:line="276" w:lineRule="auto"/>
            </w:pPr>
            <w:r>
              <w:t>IV</w:t>
            </w:r>
          </w:p>
        </w:tc>
        <w:tc>
          <w:tcPr>
            <w:tcW w:w="6048" w:type="dxa"/>
          </w:tcPr>
          <w:p w:rsidR="000A246A" w:rsidRDefault="000A246A" w:rsidP="000A246A">
            <w:pPr>
              <w:spacing w:line="276" w:lineRule="auto"/>
            </w:pPr>
            <w:r>
              <w:t>Recommend Adoption</w:t>
            </w:r>
          </w:p>
        </w:tc>
      </w:tr>
      <w:tr w:rsidR="000A246A" w:rsidTr="000A246A">
        <w:tc>
          <w:tcPr>
            <w:tcW w:w="1188" w:type="dxa"/>
          </w:tcPr>
          <w:p w:rsidR="000A246A" w:rsidRDefault="000A246A" w:rsidP="000A246A">
            <w:pPr>
              <w:spacing w:line="276" w:lineRule="auto"/>
            </w:pPr>
            <w:r>
              <w:t>G</w:t>
            </w:r>
          </w:p>
        </w:tc>
        <w:tc>
          <w:tcPr>
            <w:tcW w:w="990" w:type="dxa"/>
          </w:tcPr>
          <w:p w:rsidR="000A246A" w:rsidRDefault="000A246A" w:rsidP="000A246A">
            <w:pPr>
              <w:spacing w:line="276" w:lineRule="auto"/>
            </w:pPr>
            <w:r>
              <w:t>VI</w:t>
            </w:r>
          </w:p>
        </w:tc>
        <w:tc>
          <w:tcPr>
            <w:tcW w:w="1350" w:type="dxa"/>
          </w:tcPr>
          <w:p w:rsidR="000A246A" w:rsidRDefault="000A246A" w:rsidP="000A246A">
            <w:pPr>
              <w:spacing w:line="276" w:lineRule="auto"/>
            </w:pPr>
            <w:r>
              <w:t>X</w:t>
            </w:r>
          </w:p>
        </w:tc>
        <w:tc>
          <w:tcPr>
            <w:tcW w:w="6048" w:type="dxa"/>
          </w:tcPr>
          <w:p w:rsidR="000A246A" w:rsidRDefault="000A246A" w:rsidP="000A246A">
            <w:pPr>
              <w:spacing w:line="276" w:lineRule="auto"/>
            </w:pPr>
            <w:r>
              <w:t>Recommend Defeat</w:t>
            </w:r>
          </w:p>
          <w:p w:rsidR="000A246A" w:rsidRPr="000A246A" w:rsidRDefault="000A246A" w:rsidP="000A246A">
            <w:pPr>
              <w:spacing w:line="276" w:lineRule="auto"/>
              <w:rPr>
                <w:i/>
                <w:sz w:val="20"/>
                <w:szCs w:val="20"/>
              </w:rPr>
            </w:pPr>
            <w:r w:rsidRPr="000A246A">
              <w:rPr>
                <w:rFonts w:cs="Arial"/>
                <w:b/>
                <w:i/>
                <w:sz w:val="20"/>
                <w:szCs w:val="20"/>
              </w:rPr>
              <w:t>Standing Rules</w:t>
            </w:r>
            <w:r>
              <w:rPr>
                <w:rFonts w:cs="Arial"/>
                <w:i/>
                <w:sz w:val="20"/>
                <w:szCs w:val="20"/>
              </w:rPr>
              <w:t xml:space="preserve">  </w:t>
            </w:r>
            <w:r w:rsidRPr="000A246A">
              <w:rPr>
                <w:rFonts w:cs="Arial"/>
                <w:b/>
                <w:i/>
                <w:sz w:val="20"/>
                <w:szCs w:val="20"/>
              </w:rPr>
              <w:t>Section 4 Legislative Policy</w:t>
            </w:r>
          </w:p>
          <w:p w:rsidR="000A246A" w:rsidRDefault="000A246A" w:rsidP="000A246A">
            <w:pPr>
              <w:spacing w:line="276" w:lineRule="auto"/>
              <w:rPr>
                <w:rFonts w:cs="Arial"/>
                <w:i/>
                <w:sz w:val="20"/>
                <w:szCs w:val="20"/>
              </w:rPr>
            </w:pPr>
            <w:r w:rsidRPr="000A246A">
              <w:rPr>
                <w:rFonts w:cs="Arial"/>
                <w:i/>
                <w:sz w:val="20"/>
                <w:szCs w:val="20"/>
              </w:rPr>
              <w:t xml:space="preserve">It is the responsibility of the entire JRC and Legislative Committee to secure legislative authors for the CSL top ten state priorities. </w:t>
            </w:r>
            <w:r w:rsidRPr="000A246A">
              <w:rPr>
                <w:rFonts w:cs="Arial"/>
                <w:i/>
                <w:sz w:val="20"/>
                <w:szCs w:val="20"/>
              </w:rPr>
              <w:br/>
              <w:t xml:space="preserve"> g. All JRC members shall be active participants in the legislative process. Therefore, JRC meetings shall be scheduled so that JRC members can advocate at the Capitol as needed. </w:t>
            </w:r>
            <w:r w:rsidRPr="000A246A">
              <w:rPr>
                <w:rFonts w:cs="Arial"/>
                <w:i/>
                <w:sz w:val="20"/>
                <w:szCs w:val="20"/>
              </w:rPr>
              <w:br/>
              <w:t xml:space="preserve"> h. The members of the JRC and Legislative Committee shall be divided into teams -- with each team composed of Legislative Committee members and at least one JRC member. Each team shall be responsible for shepherding assigned priorities through the legislative process both </w:t>
            </w:r>
            <w:r>
              <w:rPr>
                <w:rFonts w:cs="Arial"/>
                <w:i/>
                <w:sz w:val="20"/>
                <w:szCs w:val="20"/>
              </w:rPr>
              <w:t xml:space="preserve">at the State Capitol and in </w:t>
            </w:r>
            <w:r w:rsidRPr="000A246A">
              <w:rPr>
                <w:rFonts w:cs="Arial"/>
                <w:i/>
                <w:sz w:val="20"/>
                <w:szCs w:val="20"/>
              </w:rPr>
              <w:t>district. </w:t>
            </w:r>
          </w:p>
          <w:p w:rsidR="000A246A" w:rsidRPr="000A246A" w:rsidRDefault="000A246A" w:rsidP="00616195">
            <w:pPr>
              <w:spacing w:line="276" w:lineRule="auto"/>
            </w:pPr>
            <w:r>
              <w:t xml:space="preserve">With recent general funding, the JRC will be able to return to this </w:t>
            </w:r>
            <w:r w:rsidR="00616195">
              <w:t>process and it will add needed members to walk the halls and ensure existing JRC members are well educated on the legislative process.  Further, if passed this amendment would significantly reduce the eligible candidates to serve on the JRC next year.</w:t>
            </w:r>
          </w:p>
        </w:tc>
      </w:tr>
    </w:tbl>
    <w:p w:rsidR="00D603C2" w:rsidRDefault="00D603C2" w:rsidP="000A246A">
      <w:pPr>
        <w:rPr>
          <w:b/>
          <w:szCs w:val="24"/>
        </w:rPr>
      </w:pPr>
    </w:p>
    <w:sectPr w:rsidR="00D603C2" w:rsidSect="000A246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02" w:rsidRDefault="00B85102" w:rsidP="004B0207">
      <w:r>
        <w:separator/>
      </w:r>
    </w:p>
  </w:endnote>
  <w:endnote w:type="continuationSeparator" w:id="0">
    <w:p w:rsidR="00B85102" w:rsidRDefault="00B85102" w:rsidP="004B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07" w:rsidRPr="004B0207" w:rsidRDefault="004B0207">
    <w:pPr>
      <w:pStyle w:val="Footer"/>
      <w:pBdr>
        <w:top w:val="thinThickSmallGap" w:sz="24" w:space="1" w:color="622423" w:themeColor="accent2" w:themeShade="7F"/>
      </w:pBdr>
      <w:rPr>
        <w:rFonts w:asciiTheme="majorHAnsi" w:eastAsiaTheme="majorEastAsia" w:hAnsiTheme="majorHAnsi" w:cstheme="majorBidi"/>
        <w:sz w:val="20"/>
        <w:szCs w:val="20"/>
      </w:rPr>
    </w:pPr>
    <w:r w:rsidRPr="004B0207">
      <w:rPr>
        <w:rFonts w:asciiTheme="majorHAnsi" w:eastAsiaTheme="majorEastAsia" w:hAnsiTheme="majorHAnsi" w:cstheme="majorBidi"/>
        <w:sz w:val="20"/>
        <w:szCs w:val="20"/>
      </w:rPr>
      <w:t xml:space="preserve">Bylaw Committee Report    </w:t>
    </w:r>
    <w:r w:rsidR="000A246A">
      <w:rPr>
        <w:rFonts w:asciiTheme="majorHAnsi" w:eastAsiaTheme="majorEastAsia" w:hAnsiTheme="majorHAnsi" w:cstheme="majorBidi"/>
        <w:sz w:val="20"/>
        <w:szCs w:val="20"/>
      </w:rPr>
      <w:t>9</w:t>
    </w:r>
    <w:r w:rsidRPr="004B0207">
      <w:rPr>
        <w:rFonts w:asciiTheme="majorHAnsi" w:eastAsiaTheme="majorEastAsia" w:hAnsiTheme="majorHAnsi" w:cstheme="majorBidi"/>
        <w:sz w:val="20"/>
        <w:szCs w:val="20"/>
      </w:rPr>
      <w:t>/</w:t>
    </w:r>
    <w:r w:rsidR="000A246A">
      <w:rPr>
        <w:rFonts w:asciiTheme="majorHAnsi" w:eastAsiaTheme="majorEastAsia" w:hAnsiTheme="majorHAnsi" w:cstheme="majorBidi"/>
        <w:sz w:val="20"/>
        <w:szCs w:val="20"/>
      </w:rPr>
      <w:t>10</w:t>
    </w:r>
    <w:r w:rsidRPr="004B0207">
      <w:rPr>
        <w:rFonts w:asciiTheme="majorHAnsi" w:eastAsiaTheme="majorEastAsia" w:hAnsiTheme="majorHAnsi" w:cstheme="majorBidi"/>
        <w:sz w:val="20"/>
        <w:szCs w:val="20"/>
      </w:rPr>
      <w:t>/</w:t>
    </w:r>
    <w:r w:rsidR="00936CDC">
      <w:rPr>
        <w:rFonts w:asciiTheme="majorHAnsi" w:eastAsiaTheme="majorEastAsia" w:hAnsiTheme="majorHAnsi" w:cstheme="majorBidi"/>
        <w:sz w:val="20"/>
        <w:szCs w:val="20"/>
      </w:rPr>
      <w:t>1</w:t>
    </w:r>
    <w:r w:rsidR="000A246A">
      <w:rPr>
        <w:rFonts w:asciiTheme="majorHAnsi" w:eastAsiaTheme="majorEastAsia" w:hAnsiTheme="majorHAnsi" w:cstheme="majorBidi"/>
        <w:sz w:val="20"/>
        <w:szCs w:val="20"/>
      </w:rPr>
      <w:t>9</w:t>
    </w:r>
    <w:r w:rsidRPr="004B0207">
      <w:rPr>
        <w:rFonts w:asciiTheme="majorHAnsi" w:eastAsiaTheme="majorEastAsia" w:hAnsiTheme="majorHAnsi" w:cstheme="majorBidi"/>
        <w:sz w:val="20"/>
        <w:szCs w:val="20"/>
      </w:rPr>
      <w:ptab w:relativeTo="margin" w:alignment="right" w:leader="none"/>
    </w:r>
    <w:r w:rsidRPr="004B0207">
      <w:rPr>
        <w:rFonts w:asciiTheme="majorHAnsi" w:eastAsiaTheme="majorEastAsia" w:hAnsiTheme="majorHAnsi" w:cstheme="majorBidi"/>
        <w:sz w:val="20"/>
        <w:szCs w:val="20"/>
      </w:rPr>
      <w:t xml:space="preserve">Page </w:t>
    </w:r>
    <w:r w:rsidRPr="004B0207">
      <w:rPr>
        <w:rFonts w:asciiTheme="minorHAnsi" w:eastAsiaTheme="minorEastAsia" w:hAnsiTheme="minorHAnsi"/>
        <w:sz w:val="20"/>
        <w:szCs w:val="20"/>
      </w:rPr>
      <w:fldChar w:fldCharType="begin"/>
    </w:r>
    <w:r w:rsidRPr="004B0207">
      <w:rPr>
        <w:sz w:val="20"/>
        <w:szCs w:val="20"/>
      </w:rPr>
      <w:instrText xml:space="preserve"> PAGE   \* MERGEFORMAT </w:instrText>
    </w:r>
    <w:r w:rsidRPr="004B0207">
      <w:rPr>
        <w:rFonts w:asciiTheme="minorHAnsi" w:eastAsiaTheme="minorEastAsia" w:hAnsiTheme="minorHAnsi"/>
        <w:sz w:val="20"/>
        <w:szCs w:val="20"/>
      </w:rPr>
      <w:fldChar w:fldCharType="separate"/>
    </w:r>
    <w:r w:rsidR="00FC31B5" w:rsidRPr="00FC31B5">
      <w:rPr>
        <w:rFonts w:asciiTheme="majorHAnsi" w:eastAsiaTheme="majorEastAsia" w:hAnsiTheme="majorHAnsi" w:cstheme="majorBidi"/>
        <w:noProof/>
        <w:sz w:val="20"/>
        <w:szCs w:val="20"/>
      </w:rPr>
      <w:t>1</w:t>
    </w:r>
    <w:r w:rsidRPr="004B0207">
      <w:rPr>
        <w:rFonts w:asciiTheme="majorHAnsi" w:eastAsiaTheme="majorEastAsia" w:hAnsiTheme="majorHAnsi" w:cstheme="majorBidi"/>
        <w:noProof/>
        <w:sz w:val="20"/>
        <w:szCs w:val="20"/>
      </w:rPr>
      <w:fldChar w:fldCharType="end"/>
    </w:r>
  </w:p>
  <w:p w:rsidR="004B0207" w:rsidRDefault="004B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02" w:rsidRDefault="00B85102" w:rsidP="004B0207">
      <w:r>
        <w:separator/>
      </w:r>
    </w:p>
  </w:footnote>
  <w:footnote w:type="continuationSeparator" w:id="0">
    <w:p w:rsidR="00B85102" w:rsidRDefault="00B85102" w:rsidP="004B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38"/>
    <w:rsid w:val="00005C80"/>
    <w:rsid w:val="00016588"/>
    <w:rsid w:val="000427AD"/>
    <w:rsid w:val="00056059"/>
    <w:rsid w:val="000A246A"/>
    <w:rsid w:val="000E68F3"/>
    <w:rsid w:val="00142870"/>
    <w:rsid w:val="00155AD9"/>
    <w:rsid w:val="00157C92"/>
    <w:rsid w:val="001B5744"/>
    <w:rsid w:val="001D1333"/>
    <w:rsid w:val="00214348"/>
    <w:rsid w:val="00287BEB"/>
    <w:rsid w:val="002D5FD0"/>
    <w:rsid w:val="002F27B9"/>
    <w:rsid w:val="00315859"/>
    <w:rsid w:val="00315AC6"/>
    <w:rsid w:val="0033188F"/>
    <w:rsid w:val="003614D2"/>
    <w:rsid w:val="00393514"/>
    <w:rsid w:val="004246FE"/>
    <w:rsid w:val="00477883"/>
    <w:rsid w:val="00483580"/>
    <w:rsid w:val="004B0207"/>
    <w:rsid w:val="00503AF2"/>
    <w:rsid w:val="0052075B"/>
    <w:rsid w:val="005806BF"/>
    <w:rsid w:val="00591250"/>
    <w:rsid w:val="00592543"/>
    <w:rsid w:val="00616195"/>
    <w:rsid w:val="0062127E"/>
    <w:rsid w:val="006C33D3"/>
    <w:rsid w:val="006D1E0C"/>
    <w:rsid w:val="006E4F7E"/>
    <w:rsid w:val="00714E73"/>
    <w:rsid w:val="00737B19"/>
    <w:rsid w:val="007E68CA"/>
    <w:rsid w:val="00845252"/>
    <w:rsid w:val="0087757B"/>
    <w:rsid w:val="008F090D"/>
    <w:rsid w:val="008F1AC4"/>
    <w:rsid w:val="00926B85"/>
    <w:rsid w:val="00927F87"/>
    <w:rsid w:val="00936CDC"/>
    <w:rsid w:val="00964E62"/>
    <w:rsid w:val="00A45D54"/>
    <w:rsid w:val="00A71BC4"/>
    <w:rsid w:val="00B054BC"/>
    <w:rsid w:val="00B85102"/>
    <w:rsid w:val="00B8760B"/>
    <w:rsid w:val="00BA0AE4"/>
    <w:rsid w:val="00BA75E1"/>
    <w:rsid w:val="00BB2725"/>
    <w:rsid w:val="00C259A2"/>
    <w:rsid w:val="00C63FC5"/>
    <w:rsid w:val="00CA2A41"/>
    <w:rsid w:val="00CE1120"/>
    <w:rsid w:val="00D10209"/>
    <w:rsid w:val="00D603C2"/>
    <w:rsid w:val="00D67B46"/>
    <w:rsid w:val="00DE47FF"/>
    <w:rsid w:val="00E82446"/>
    <w:rsid w:val="00EB4E84"/>
    <w:rsid w:val="00F05138"/>
    <w:rsid w:val="00F65D57"/>
    <w:rsid w:val="00F8332E"/>
    <w:rsid w:val="00F906BB"/>
    <w:rsid w:val="00FC31B5"/>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F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table" w:styleId="TableGrid">
    <w:name w:val="Table Grid"/>
    <w:basedOn w:val="TableNormal"/>
    <w:uiPriority w:val="59"/>
    <w:rsid w:val="00F0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207"/>
    <w:pPr>
      <w:tabs>
        <w:tab w:val="center" w:pos="4680"/>
        <w:tab w:val="right" w:pos="9360"/>
      </w:tabs>
    </w:pPr>
  </w:style>
  <w:style w:type="character" w:customStyle="1" w:styleId="HeaderChar">
    <w:name w:val="Header Char"/>
    <w:basedOn w:val="DefaultParagraphFont"/>
    <w:link w:val="Header"/>
    <w:uiPriority w:val="99"/>
    <w:rsid w:val="004B0207"/>
    <w:rPr>
      <w:rFonts w:ascii="Arial" w:hAnsi="Arial"/>
      <w:sz w:val="24"/>
    </w:rPr>
  </w:style>
  <w:style w:type="paragraph" w:styleId="Footer">
    <w:name w:val="footer"/>
    <w:basedOn w:val="Normal"/>
    <w:link w:val="FooterChar"/>
    <w:uiPriority w:val="99"/>
    <w:unhideWhenUsed/>
    <w:rsid w:val="004B0207"/>
    <w:pPr>
      <w:tabs>
        <w:tab w:val="center" w:pos="4680"/>
        <w:tab w:val="right" w:pos="9360"/>
      </w:tabs>
    </w:pPr>
  </w:style>
  <w:style w:type="character" w:customStyle="1" w:styleId="FooterChar">
    <w:name w:val="Footer Char"/>
    <w:basedOn w:val="DefaultParagraphFont"/>
    <w:link w:val="Footer"/>
    <w:uiPriority w:val="99"/>
    <w:rsid w:val="004B0207"/>
    <w:rPr>
      <w:rFonts w:ascii="Arial" w:hAnsi="Arial"/>
      <w:sz w:val="24"/>
    </w:rPr>
  </w:style>
  <w:style w:type="paragraph" w:styleId="BalloonText">
    <w:name w:val="Balloon Text"/>
    <w:basedOn w:val="Normal"/>
    <w:link w:val="BalloonTextChar"/>
    <w:uiPriority w:val="99"/>
    <w:semiHidden/>
    <w:unhideWhenUsed/>
    <w:rsid w:val="004B0207"/>
    <w:rPr>
      <w:rFonts w:ascii="Tahoma" w:hAnsi="Tahoma" w:cs="Tahoma"/>
      <w:sz w:val="16"/>
      <w:szCs w:val="16"/>
    </w:rPr>
  </w:style>
  <w:style w:type="character" w:customStyle="1" w:styleId="BalloonTextChar">
    <w:name w:val="Balloon Text Char"/>
    <w:basedOn w:val="DefaultParagraphFont"/>
    <w:link w:val="BalloonText"/>
    <w:uiPriority w:val="99"/>
    <w:semiHidden/>
    <w:rsid w:val="004B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F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table" w:styleId="TableGrid">
    <w:name w:val="Table Grid"/>
    <w:basedOn w:val="TableNormal"/>
    <w:uiPriority w:val="59"/>
    <w:rsid w:val="00F0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207"/>
    <w:pPr>
      <w:tabs>
        <w:tab w:val="center" w:pos="4680"/>
        <w:tab w:val="right" w:pos="9360"/>
      </w:tabs>
    </w:pPr>
  </w:style>
  <w:style w:type="character" w:customStyle="1" w:styleId="HeaderChar">
    <w:name w:val="Header Char"/>
    <w:basedOn w:val="DefaultParagraphFont"/>
    <w:link w:val="Header"/>
    <w:uiPriority w:val="99"/>
    <w:rsid w:val="004B0207"/>
    <w:rPr>
      <w:rFonts w:ascii="Arial" w:hAnsi="Arial"/>
      <w:sz w:val="24"/>
    </w:rPr>
  </w:style>
  <w:style w:type="paragraph" w:styleId="Footer">
    <w:name w:val="footer"/>
    <w:basedOn w:val="Normal"/>
    <w:link w:val="FooterChar"/>
    <w:uiPriority w:val="99"/>
    <w:unhideWhenUsed/>
    <w:rsid w:val="004B0207"/>
    <w:pPr>
      <w:tabs>
        <w:tab w:val="center" w:pos="4680"/>
        <w:tab w:val="right" w:pos="9360"/>
      </w:tabs>
    </w:pPr>
  </w:style>
  <w:style w:type="character" w:customStyle="1" w:styleId="FooterChar">
    <w:name w:val="Footer Char"/>
    <w:basedOn w:val="DefaultParagraphFont"/>
    <w:link w:val="Footer"/>
    <w:uiPriority w:val="99"/>
    <w:rsid w:val="004B0207"/>
    <w:rPr>
      <w:rFonts w:ascii="Arial" w:hAnsi="Arial"/>
      <w:sz w:val="24"/>
    </w:rPr>
  </w:style>
  <w:style w:type="paragraph" w:styleId="BalloonText">
    <w:name w:val="Balloon Text"/>
    <w:basedOn w:val="Normal"/>
    <w:link w:val="BalloonTextChar"/>
    <w:uiPriority w:val="99"/>
    <w:semiHidden/>
    <w:unhideWhenUsed/>
    <w:rsid w:val="004B0207"/>
    <w:rPr>
      <w:rFonts w:ascii="Tahoma" w:hAnsi="Tahoma" w:cs="Tahoma"/>
      <w:sz w:val="16"/>
      <w:szCs w:val="16"/>
    </w:rPr>
  </w:style>
  <w:style w:type="character" w:customStyle="1" w:styleId="BalloonTextChar">
    <w:name w:val="Balloon Text Char"/>
    <w:basedOn w:val="DefaultParagraphFont"/>
    <w:link w:val="BalloonText"/>
    <w:uiPriority w:val="99"/>
    <w:semiHidden/>
    <w:rsid w:val="004B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Cuesta, Lorenzo@DGS</dc:creator>
  <cp:lastModifiedBy>Csmith</cp:lastModifiedBy>
  <cp:revision>5</cp:revision>
  <cp:lastPrinted>2015-09-09T01:05:00Z</cp:lastPrinted>
  <dcterms:created xsi:type="dcterms:W3CDTF">2019-09-13T01:48:00Z</dcterms:created>
  <dcterms:modified xsi:type="dcterms:W3CDTF">2019-09-13T20:25:00Z</dcterms:modified>
</cp:coreProperties>
</file>