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FF" w:rsidRPr="0033188F" w:rsidRDefault="00F05138" w:rsidP="00F05138">
      <w:pPr>
        <w:jc w:val="center"/>
        <w:rPr>
          <w:b/>
          <w:sz w:val="28"/>
          <w:szCs w:val="28"/>
        </w:rPr>
      </w:pPr>
      <w:r w:rsidRPr="0033188F">
        <w:rPr>
          <w:b/>
          <w:sz w:val="28"/>
          <w:szCs w:val="28"/>
        </w:rPr>
        <w:t xml:space="preserve">Report of the California Senior Legislature </w:t>
      </w:r>
      <w:proofErr w:type="spellStart"/>
      <w:r w:rsidR="0052075B">
        <w:rPr>
          <w:b/>
          <w:sz w:val="28"/>
          <w:szCs w:val="28"/>
        </w:rPr>
        <w:t>Adhoc</w:t>
      </w:r>
      <w:proofErr w:type="spellEnd"/>
      <w:r w:rsidR="0052075B">
        <w:rPr>
          <w:b/>
          <w:sz w:val="28"/>
          <w:szCs w:val="28"/>
        </w:rPr>
        <w:t xml:space="preserve"> </w:t>
      </w:r>
      <w:r w:rsidRPr="0033188F">
        <w:rPr>
          <w:b/>
          <w:sz w:val="28"/>
          <w:szCs w:val="28"/>
        </w:rPr>
        <w:t>Bylaw Committee, 8/</w:t>
      </w:r>
      <w:r w:rsidR="00EB4E84">
        <w:rPr>
          <w:b/>
          <w:sz w:val="28"/>
          <w:szCs w:val="28"/>
        </w:rPr>
        <w:t>5</w:t>
      </w:r>
      <w:r w:rsidRPr="0033188F">
        <w:rPr>
          <w:b/>
          <w:sz w:val="28"/>
          <w:szCs w:val="28"/>
        </w:rPr>
        <w:t>/1</w:t>
      </w:r>
      <w:r w:rsidR="00EB4E84">
        <w:rPr>
          <w:b/>
          <w:sz w:val="28"/>
          <w:szCs w:val="28"/>
        </w:rPr>
        <w:t>5</w:t>
      </w:r>
    </w:p>
    <w:p w:rsidR="001B5744" w:rsidRDefault="001B5744" w:rsidP="00F05138">
      <w:pPr>
        <w:jc w:val="center"/>
      </w:pPr>
    </w:p>
    <w:p w:rsidR="0052075B" w:rsidRDefault="0052075B" w:rsidP="00F05138">
      <w:pPr>
        <w:jc w:val="center"/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1188"/>
        <w:gridCol w:w="990"/>
        <w:gridCol w:w="1350"/>
        <w:gridCol w:w="6048"/>
      </w:tblGrid>
      <w:tr w:rsidR="003614D2" w:rsidTr="003614D2">
        <w:tc>
          <w:tcPr>
            <w:tcW w:w="1188" w:type="dxa"/>
          </w:tcPr>
          <w:p w:rsidR="003614D2" w:rsidRDefault="003614D2" w:rsidP="003614D2">
            <w:r>
              <w:t>Proposal</w:t>
            </w:r>
          </w:p>
        </w:tc>
        <w:tc>
          <w:tcPr>
            <w:tcW w:w="990" w:type="dxa"/>
          </w:tcPr>
          <w:p w:rsidR="003614D2" w:rsidRDefault="003614D2" w:rsidP="003614D2">
            <w:r>
              <w:t xml:space="preserve">Article </w:t>
            </w:r>
          </w:p>
        </w:tc>
        <w:tc>
          <w:tcPr>
            <w:tcW w:w="1350" w:type="dxa"/>
          </w:tcPr>
          <w:p w:rsidR="003614D2" w:rsidRDefault="003614D2" w:rsidP="003614D2">
            <w:r>
              <w:t>Section</w:t>
            </w:r>
          </w:p>
        </w:tc>
        <w:tc>
          <w:tcPr>
            <w:tcW w:w="6048" w:type="dxa"/>
          </w:tcPr>
          <w:p w:rsidR="003614D2" w:rsidRDefault="003614D2" w:rsidP="003614D2">
            <w:r>
              <w:t>Recommendation</w:t>
            </w:r>
          </w:p>
        </w:tc>
      </w:tr>
      <w:tr w:rsidR="003614D2" w:rsidTr="003614D2">
        <w:tc>
          <w:tcPr>
            <w:tcW w:w="1188" w:type="dxa"/>
          </w:tcPr>
          <w:p w:rsidR="003614D2" w:rsidRDefault="00EB4E84" w:rsidP="00964E62">
            <w:pPr>
              <w:spacing w:line="276" w:lineRule="auto"/>
            </w:pPr>
            <w:r>
              <w:t>1</w:t>
            </w:r>
          </w:p>
        </w:tc>
        <w:tc>
          <w:tcPr>
            <w:tcW w:w="990" w:type="dxa"/>
          </w:tcPr>
          <w:p w:rsidR="003614D2" w:rsidRDefault="003614D2" w:rsidP="00964E62">
            <w:pPr>
              <w:spacing w:line="276" w:lineRule="auto"/>
            </w:pPr>
            <w:r>
              <w:t>V</w:t>
            </w:r>
            <w:r w:rsidR="00EB4E84">
              <w:t>III</w:t>
            </w:r>
          </w:p>
          <w:p w:rsidR="003614D2" w:rsidRDefault="003614D2" w:rsidP="00964E62">
            <w:pPr>
              <w:spacing w:line="276" w:lineRule="auto"/>
            </w:pPr>
          </w:p>
        </w:tc>
        <w:tc>
          <w:tcPr>
            <w:tcW w:w="1350" w:type="dxa"/>
          </w:tcPr>
          <w:p w:rsidR="003614D2" w:rsidRDefault="00EB4E84" w:rsidP="00964E62">
            <w:pPr>
              <w:spacing w:line="276" w:lineRule="auto"/>
            </w:pPr>
            <w:r>
              <w:t>VI</w:t>
            </w:r>
          </w:p>
        </w:tc>
        <w:tc>
          <w:tcPr>
            <w:tcW w:w="6048" w:type="dxa"/>
          </w:tcPr>
          <w:p w:rsidR="003614D2" w:rsidRDefault="003614D2" w:rsidP="00964E62">
            <w:pPr>
              <w:spacing w:line="276" w:lineRule="auto"/>
            </w:pPr>
            <w:r>
              <w:t xml:space="preserve">Recommend </w:t>
            </w:r>
            <w:r w:rsidR="00EB4E84">
              <w:t>defeat</w:t>
            </w:r>
          </w:p>
          <w:p w:rsidR="003614D2" w:rsidRDefault="00EB4E84" w:rsidP="00EB4E84">
            <w:pPr>
              <w:spacing w:line="276" w:lineRule="auto"/>
            </w:pPr>
            <w:r>
              <w:t>This is a Standing Rule Amendment not a Bylaw Amendment.  Requires 3 legible signatures.</w:t>
            </w:r>
          </w:p>
        </w:tc>
      </w:tr>
      <w:tr w:rsidR="003614D2" w:rsidTr="003614D2">
        <w:tc>
          <w:tcPr>
            <w:tcW w:w="1188" w:type="dxa"/>
          </w:tcPr>
          <w:p w:rsidR="003614D2" w:rsidRDefault="00EB4E84" w:rsidP="00964E62">
            <w:pPr>
              <w:spacing w:line="276" w:lineRule="auto"/>
            </w:pPr>
            <w:r>
              <w:t>2</w:t>
            </w:r>
          </w:p>
        </w:tc>
        <w:tc>
          <w:tcPr>
            <w:tcW w:w="990" w:type="dxa"/>
          </w:tcPr>
          <w:p w:rsidR="00C259A2" w:rsidRDefault="00EB4E84" w:rsidP="00964E62">
            <w:pPr>
              <w:spacing w:line="276" w:lineRule="auto"/>
            </w:pPr>
            <w:r>
              <w:t>VI</w:t>
            </w:r>
          </w:p>
        </w:tc>
        <w:tc>
          <w:tcPr>
            <w:tcW w:w="1350" w:type="dxa"/>
          </w:tcPr>
          <w:p w:rsidR="00C259A2" w:rsidRDefault="00EB4E84" w:rsidP="00964E62">
            <w:pPr>
              <w:spacing w:line="276" w:lineRule="auto"/>
            </w:pPr>
            <w:r>
              <w:t>V</w:t>
            </w:r>
          </w:p>
        </w:tc>
        <w:tc>
          <w:tcPr>
            <w:tcW w:w="6048" w:type="dxa"/>
          </w:tcPr>
          <w:p w:rsidR="003614D2" w:rsidRDefault="00EB4E84" w:rsidP="00964E62">
            <w:pPr>
              <w:spacing w:line="276" w:lineRule="auto"/>
            </w:pPr>
            <w:r>
              <w:t>Recommend defeat</w:t>
            </w:r>
          </w:p>
          <w:p w:rsidR="00EB4E84" w:rsidRDefault="00EB4E84" w:rsidP="00964E62">
            <w:pPr>
              <w:spacing w:line="276" w:lineRule="auto"/>
            </w:pPr>
            <w:r>
              <w:t>This can currently be performed by the Executive Committee, if necessary.</w:t>
            </w:r>
          </w:p>
        </w:tc>
      </w:tr>
      <w:tr w:rsidR="003614D2" w:rsidTr="003614D2">
        <w:tc>
          <w:tcPr>
            <w:tcW w:w="1188" w:type="dxa"/>
          </w:tcPr>
          <w:p w:rsidR="003614D2" w:rsidRDefault="00EB4E84" w:rsidP="00964E62">
            <w:pPr>
              <w:spacing w:line="276" w:lineRule="auto"/>
            </w:pPr>
            <w:r>
              <w:t>3</w:t>
            </w:r>
          </w:p>
        </w:tc>
        <w:tc>
          <w:tcPr>
            <w:tcW w:w="990" w:type="dxa"/>
          </w:tcPr>
          <w:p w:rsidR="003614D2" w:rsidRDefault="00EB4E84" w:rsidP="00964E62">
            <w:pPr>
              <w:spacing w:line="276" w:lineRule="auto"/>
            </w:pPr>
            <w:r>
              <w:t>VI</w:t>
            </w:r>
          </w:p>
        </w:tc>
        <w:tc>
          <w:tcPr>
            <w:tcW w:w="1350" w:type="dxa"/>
          </w:tcPr>
          <w:p w:rsidR="003614D2" w:rsidRDefault="00EB4E84" w:rsidP="00964E62">
            <w:pPr>
              <w:spacing w:line="276" w:lineRule="auto"/>
            </w:pPr>
            <w:r>
              <w:t>III</w:t>
            </w:r>
          </w:p>
        </w:tc>
        <w:tc>
          <w:tcPr>
            <w:tcW w:w="6048" w:type="dxa"/>
          </w:tcPr>
          <w:p w:rsidR="003614D2" w:rsidRDefault="003614D2" w:rsidP="00EB4E84">
            <w:pPr>
              <w:spacing w:line="276" w:lineRule="auto"/>
            </w:pPr>
            <w:r>
              <w:t xml:space="preserve">Recommend </w:t>
            </w:r>
            <w:r w:rsidR="00EB4E84">
              <w:t>adoption</w:t>
            </w:r>
          </w:p>
        </w:tc>
      </w:tr>
      <w:tr w:rsidR="003614D2" w:rsidTr="003614D2">
        <w:tc>
          <w:tcPr>
            <w:tcW w:w="1188" w:type="dxa"/>
          </w:tcPr>
          <w:p w:rsidR="003614D2" w:rsidRDefault="00EB4E84" w:rsidP="00964E62">
            <w:pPr>
              <w:spacing w:line="276" w:lineRule="auto"/>
            </w:pPr>
            <w:r>
              <w:t>4</w:t>
            </w:r>
          </w:p>
        </w:tc>
        <w:tc>
          <w:tcPr>
            <w:tcW w:w="990" w:type="dxa"/>
          </w:tcPr>
          <w:p w:rsidR="003614D2" w:rsidRDefault="00EB4E84" w:rsidP="00964E62">
            <w:pPr>
              <w:spacing w:line="276" w:lineRule="auto"/>
            </w:pPr>
            <w:r>
              <w:t>II</w:t>
            </w:r>
          </w:p>
        </w:tc>
        <w:tc>
          <w:tcPr>
            <w:tcW w:w="1350" w:type="dxa"/>
          </w:tcPr>
          <w:p w:rsidR="003614D2" w:rsidRDefault="00EB4E84" w:rsidP="00964E62">
            <w:pPr>
              <w:spacing w:line="276" w:lineRule="auto"/>
            </w:pPr>
            <w:r>
              <w:t>Authority</w:t>
            </w:r>
          </w:p>
        </w:tc>
        <w:tc>
          <w:tcPr>
            <w:tcW w:w="6048" w:type="dxa"/>
          </w:tcPr>
          <w:p w:rsidR="003614D2" w:rsidRDefault="003614D2" w:rsidP="00EB4E84">
            <w:pPr>
              <w:spacing w:line="276" w:lineRule="auto"/>
            </w:pPr>
            <w:r>
              <w:t xml:space="preserve">Recommend </w:t>
            </w:r>
            <w:r w:rsidR="00EB4E84">
              <w:t>adoption</w:t>
            </w:r>
          </w:p>
        </w:tc>
      </w:tr>
      <w:tr w:rsidR="003614D2" w:rsidTr="003614D2">
        <w:tc>
          <w:tcPr>
            <w:tcW w:w="1188" w:type="dxa"/>
          </w:tcPr>
          <w:p w:rsidR="003614D2" w:rsidRDefault="00EB4E84" w:rsidP="00964E62">
            <w:pPr>
              <w:spacing w:line="276" w:lineRule="auto"/>
            </w:pPr>
            <w:r>
              <w:t>5</w:t>
            </w:r>
          </w:p>
        </w:tc>
        <w:tc>
          <w:tcPr>
            <w:tcW w:w="990" w:type="dxa"/>
          </w:tcPr>
          <w:p w:rsidR="003614D2" w:rsidRDefault="00EB4E84" w:rsidP="00964E62">
            <w:pPr>
              <w:spacing w:line="276" w:lineRule="auto"/>
            </w:pPr>
            <w:r>
              <w:t>V</w:t>
            </w:r>
          </w:p>
        </w:tc>
        <w:tc>
          <w:tcPr>
            <w:tcW w:w="1350" w:type="dxa"/>
          </w:tcPr>
          <w:p w:rsidR="003614D2" w:rsidRDefault="00EB4E84" w:rsidP="00964E62">
            <w:pPr>
              <w:spacing w:line="276" w:lineRule="auto"/>
            </w:pPr>
            <w:r>
              <w:t>VI</w:t>
            </w:r>
          </w:p>
        </w:tc>
        <w:tc>
          <w:tcPr>
            <w:tcW w:w="6048" w:type="dxa"/>
          </w:tcPr>
          <w:p w:rsidR="003614D2" w:rsidRDefault="003614D2" w:rsidP="00EB4E84">
            <w:pPr>
              <w:spacing w:line="276" w:lineRule="auto"/>
            </w:pPr>
            <w:r>
              <w:t xml:space="preserve">Recommend </w:t>
            </w:r>
            <w:r w:rsidR="00EB4E84">
              <w:t>adoption</w:t>
            </w:r>
          </w:p>
        </w:tc>
      </w:tr>
      <w:tr w:rsidR="003614D2" w:rsidTr="003614D2">
        <w:tc>
          <w:tcPr>
            <w:tcW w:w="1188" w:type="dxa"/>
          </w:tcPr>
          <w:p w:rsidR="003614D2" w:rsidRDefault="00EB4E84" w:rsidP="00964E62">
            <w:pPr>
              <w:spacing w:line="276" w:lineRule="auto"/>
            </w:pPr>
            <w:r>
              <w:t>6</w:t>
            </w:r>
          </w:p>
        </w:tc>
        <w:tc>
          <w:tcPr>
            <w:tcW w:w="990" w:type="dxa"/>
          </w:tcPr>
          <w:p w:rsidR="003614D2" w:rsidRDefault="00EB4E84" w:rsidP="00964E62">
            <w:pPr>
              <w:spacing w:line="276" w:lineRule="auto"/>
            </w:pPr>
            <w:r>
              <w:t>V</w:t>
            </w:r>
          </w:p>
        </w:tc>
        <w:tc>
          <w:tcPr>
            <w:tcW w:w="1350" w:type="dxa"/>
          </w:tcPr>
          <w:p w:rsidR="003614D2" w:rsidRDefault="00EB4E84" w:rsidP="00964E62">
            <w:pPr>
              <w:spacing w:line="276" w:lineRule="auto"/>
            </w:pPr>
            <w:r>
              <w:t>VI</w:t>
            </w:r>
          </w:p>
        </w:tc>
        <w:tc>
          <w:tcPr>
            <w:tcW w:w="6048" w:type="dxa"/>
          </w:tcPr>
          <w:p w:rsidR="003614D2" w:rsidRDefault="00EB4E84" w:rsidP="00964E62">
            <w:pPr>
              <w:spacing w:line="276" w:lineRule="auto"/>
            </w:pPr>
            <w:r>
              <w:t>Recommend defeat</w:t>
            </w:r>
          </w:p>
          <w:p w:rsidR="00EB4E84" w:rsidRDefault="00EB4E84" w:rsidP="00964E62">
            <w:pPr>
              <w:spacing w:line="276" w:lineRule="auto"/>
            </w:pPr>
            <w:r>
              <w:t>This has been addressed in proposal 5 above.</w:t>
            </w:r>
          </w:p>
        </w:tc>
      </w:tr>
      <w:tr w:rsidR="003614D2" w:rsidTr="003614D2">
        <w:tc>
          <w:tcPr>
            <w:tcW w:w="1188" w:type="dxa"/>
          </w:tcPr>
          <w:p w:rsidR="003614D2" w:rsidRDefault="00EB4E84" w:rsidP="00964E62">
            <w:pPr>
              <w:spacing w:line="276" w:lineRule="auto"/>
            </w:pPr>
            <w:r>
              <w:t>7</w:t>
            </w:r>
          </w:p>
        </w:tc>
        <w:tc>
          <w:tcPr>
            <w:tcW w:w="990" w:type="dxa"/>
          </w:tcPr>
          <w:p w:rsidR="003614D2" w:rsidRDefault="00EB4E84" w:rsidP="00964E62">
            <w:pPr>
              <w:spacing w:line="276" w:lineRule="auto"/>
            </w:pPr>
            <w:r>
              <w:t>X</w:t>
            </w:r>
          </w:p>
        </w:tc>
        <w:tc>
          <w:tcPr>
            <w:tcW w:w="1350" w:type="dxa"/>
          </w:tcPr>
          <w:p w:rsidR="003614D2" w:rsidRDefault="00EB4E84" w:rsidP="00964E62">
            <w:pPr>
              <w:spacing w:line="276" w:lineRule="auto"/>
            </w:pPr>
            <w:r>
              <w:t>I</w:t>
            </w:r>
          </w:p>
        </w:tc>
        <w:tc>
          <w:tcPr>
            <w:tcW w:w="6048" w:type="dxa"/>
          </w:tcPr>
          <w:p w:rsidR="00EB4E84" w:rsidRDefault="003614D2" w:rsidP="00964E62">
            <w:pPr>
              <w:spacing w:line="276" w:lineRule="auto"/>
            </w:pPr>
            <w:r>
              <w:t>Recommend defeat</w:t>
            </w:r>
          </w:p>
          <w:p w:rsidR="003614D2" w:rsidRDefault="00936CDC" w:rsidP="00964E62">
            <w:pPr>
              <w:spacing w:line="276" w:lineRule="auto"/>
            </w:pPr>
            <w:r>
              <w:t>The Bagley Keene Act &amp; Brown Act requirements govern meetings.  It currently implies “all” meetings.</w:t>
            </w:r>
          </w:p>
        </w:tc>
      </w:tr>
      <w:tr w:rsidR="003614D2" w:rsidTr="003614D2">
        <w:tc>
          <w:tcPr>
            <w:tcW w:w="1188" w:type="dxa"/>
          </w:tcPr>
          <w:p w:rsidR="003614D2" w:rsidRDefault="00936CDC" w:rsidP="00964E62">
            <w:pPr>
              <w:spacing w:line="276" w:lineRule="auto"/>
            </w:pPr>
            <w:r>
              <w:t>8</w:t>
            </w:r>
          </w:p>
        </w:tc>
        <w:tc>
          <w:tcPr>
            <w:tcW w:w="990" w:type="dxa"/>
          </w:tcPr>
          <w:p w:rsidR="003614D2" w:rsidRDefault="00936CDC" w:rsidP="00964E62">
            <w:pPr>
              <w:spacing w:line="276" w:lineRule="auto"/>
            </w:pPr>
            <w:r>
              <w:t>VIII</w:t>
            </w:r>
          </w:p>
        </w:tc>
        <w:tc>
          <w:tcPr>
            <w:tcW w:w="1350" w:type="dxa"/>
          </w:tcPr>
          <w:p w:rsidR="003614D2" w:rsidRDefault="00936CDC" w:rsidP="00964E62">
            <w:pPr>
              <w:spacing w:line="276" w:lineRule="auto"/>
            </w:pPr>
            <w:r>
              <w:t>I</w:t>
            </w:r>
          </w:p>
        </w:tc>
        <w:tc>
          <w:tcPr>
            <w:tcW w:w="6048" w:type="dxa"/>
          </w:tcPr>
          <w:p w:rsidR="003614D2" w:rsidRDefault="00936CDC" w:rsidP="00964E62">
            <w:pPr>
              <w:spacing w:line="276" w:lineRule="auto"/>
            </w:pPr>
            <w:r>
              <w:t>Recommend adoption</w:t>
            </w:r>
          </w:p>
        </w:tc>
      </w:tr>
    </w:tbl>
    <w:p w:rsidR="001B5744" w:rsidRPr="00005C80" w:rsidRDefault="0052075B" w:rsidP="0052075B">
      <w:pPr>
        <w:rPr>
          <w:szCs w:val="24"/>
        </w:rPr>
      </w:pPr>
      <w:r>
        <w:rPr>
          <w:szCs w:val="24"/>
        </w:rPr>
        <w:t xml:space="preserve">Recommendations for the </w:t>
      </w:r>
      <w:proofErr w:type="spellStart"/>
      <w:r>
        <w:rPr>
          <w:szCs w:val="24"/>
        </w:rPr>
        <w:t>Adhoc</w:t>
      </w:r>
      <w:proofErr w:type="spellEnd"/>
      <w:r>
        <w:rPr>
          <w:szCs w:val="24"/>
        </w:rPr>
        <w:t xml:space="preserve"> Bylaw Committee:</w:t>
      </w:r>
    </w:p>
    <w:sectPr w:rsidR="001B5744" w:rsidRPr="00005C80" w:rsidSect="0004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70" w:rsidRDefault="00142870" w:rsidP="004B0207">
      <w:r>
        <w:separator/>
      </w:r>
    </w:p>
  </w:endnote>
  <w:endnote w:type="continuationSeparator" w:id="0">
    <w:p w:rsidR="00142870" w:rsidRDefault="00142870" w:rsidP="004B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DC" w:rsidRDefault="00936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07" w:rsidRPr="004B0207" w:rsidRDefault="004B02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4B0207">
      <w:rPr>
        <w:rFonts w:asciiTheme="majorHAnsi" w:eastAsiaTheme="majorEastAsia" w:hAnsiTheme="majorHAnsi" w:cstheme="majorBidi"/>
        <w:sz w:val="20"/>
        <w:szCs w:val="20"/>
      </w:rPr>
      <w:t xml:space="preserve">Bylaw Committee Report     </w:t>
    </w:r>
    <w:r w:rsidR="00936CDC">
      <w:rPr>
        <w:rFonts w:asciiTheme="majorHAnsi" w:eastAsiaTheme="majorEastAsia" w:hAnsiTheme="majorHAnsi" w:cstheme="majorBidi"/>
        <w:sz w:val="20"/>
        <w:szCs w:val="20"/>
      </w:rPr>
      <w:t>8</w:t>
    </w:r>
    <w:r w:rsidRPr="004B0207">
      <w:rPr>
        <w:rFonts w:asciiTheme="majorHAnsi" w:eastAsiaTheme="majorEastAsia" w:hAnsiTheme="majorHAnsi" w:cstheme="majorBidi"/>
        <w:sz w:val="20"/>
        <w:szCs w:val="20"/>
      </w:rPr>
      <w:t>/</w:t>
    </w:r>
    <w:r w:rsidR="00936CDC">
      <w:rPr>
        <w:rFonts w:asciiTheme="majorHAnsi" w:eastAsiaTheme="majorEastAsia" w:hAnsiTheme="majorHAnsi" w:cstheme="majorBidi"/>
        <w:sz w:val="20"/>
        <w:szCs w:val="20"/>
      </w:rPr>
      <w:t>5</w:t>
    </w:r>
    <w:r w:rsidRPr="004B0207">
      <w:rPr>
        <w:rFonts w:asciiTheme="majorHAnsi" w:eastAsiaTheme="majorEastAsia" w:hAnsiTheme="majorHAnsi" w:cstheme="majorBidi"/>
        <w:sz w:val="20"/>
        <w:szCs w:val="20"/>
      </w:rPr>
      <w:t>/</w:t>
    </w:r>
    <w:r w:rsidR="00936CDC">
      <w:rPr>
        <w:rFonts w:asciiTheme="majorHAnsi" w:eastAsiaTheme="majorEastAsia" w:hAnsiTheme="majorHAnsi" w:cstheme="majorBidi"/>
        <w:sz w:val="20"/>
        <w:szCs w:val="20"/>
      </w:rPr>
      <w:t>15</w:t>
    </w:r>
    <w:r w:rsidRPr="004B0207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4B0207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4B0207">
      <w:rPr>
        <w:rFonts w:asciiTheme="minorHAnsi" w:eastAsiaTheme="minorEastAsia" w:hAnsiTheme="minorHAnsi"/>
        <w:sz w:val="20"/>
        <w:szCs w:val="20"/>
      </w:rPr>
      <w:fldChar w:fldCharType="begin"/>
    </w:r>
    <w:r w:rsidRPr="004B0207">
      <w:rPr>
        <w:sz w:val="20"/>
        <w:szCs w:val="20"/>
      </w:rPr>
      <w:instrText xml:space="preserve"> PAGE   \* MERGEFORMAT </w:instrText>
    </w:r>
    <w:r w:rsidRPr="004B0207">
      <w:rPr>
        <w:rFonts w:asciiTheme="minorHAnsi" w:eastAsiaTheme="minorEastAsia" w:hAnsiTheme="minorHAnsi"/>
        <w:sz w:val="20"/>
        <w:szCs w:val="20"/>
      </w:rPr>
      <w:fldChar w:fldCharType="separate"/>
    </w:r>
    <w:r w:rsidR="0052075B" w:rsidRPr="0052075B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4B0207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4B0207" w:rsidRDefault="004B0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DC" w:rsidRDefault="00936C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70" w:rsidRDefault="00142870" w:rsidP="004B0207">
      <w:r>
        <w:separator/>
      </w:r>
    </w:p>
  </w:footnote>
  <w:footnote w:type="continuationSeparator" w:id="0">
    <w:p w:rsidR="00142870" w:rsidRDefault="00142870" w:rsidP="004B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DC" w:rsidRDefault="00936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DC" w:rsidRDefault="00936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DC" w:rsidRDefault="00936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38"/>
    <w:rsid w:val="00005C80"/>
    <w:rsid w:val="00016588"/>
    <w:rsid w:val="000427AD"/>
    <w:rsid w:val="00056059"/>
    <w:rsid w:val="000E68F3"/>
    <w:rsid w:val="00142870"/>
    <w:rsid w:val="00155AD9"/>
    <w:rsid w:val="00157C92"/>
    <w:rsid w:val="001B5744"/>
    <w:rsid w:val="00315859"/>
    <w:rsid w:val="0033188F"/>
    <w:rsid w:val="003614D2"/>
    <w:rsid w:val="00393514"/>
    <w:rsid w:val="00477883"/>
    <w:rsid w:val="004B0207"/>
    <w:rsid w:val="00503AF2"/>
    <w:rsid w:val="0052075B"/>
    <w:rsid w:val="00592543"/>
    <w:rsid w:val="006D1E0C"/>
    <w:rsid w:val="006E4F7E"/>
    <w:rsid w:val="00737B19"/>
    <w:rsid w:val="00845252"/>
    <w:rsid w:val="0087757B"/>
    <w:rsid w:val="008F090D"/>
    <w:rsid w:val="008F1AC4"/>
    <w:rsid w:val="00926B85"/>
    <w:rsid w:val="00927F87"/>
    <w:rsid w:val="00936CDC"/>
    <w:rsid w:val="00964E62"/>
    <w:rsid w:val="00B054BC"/>
    <w:rsid w:val="00BA0AE4"/>
    <w:rsid w:val="00BA75E1"/>
    <w:rsid w:val="00C259A2"/>
    <w:rsid w:val="00CE1120"/>
    <w:rsid w:val="00D10209"/>
    <w:rsid w:val="00D67B46"/>
    <w:rsid w:val="00DE47FF"/>
    <w:rsid w:val="00E82446"/>
    <w:rsid w:val="00EB4E84"/>
    <w:rsid w:val="00F05138"/>
    <w:rsid w:val="00F65D57"/>
    <w:rsid w:val="00F8332E"/>
    <w:rsid w:val="00FC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F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7FF"/>
    <w:pPr>
      <w:spacing w:after="0" w:line="240" w:lineRule="auto"/>
    </w:pPr>
  </w:style>
  <w:style w:type="table" w:styleId="TableGrid">
    <w:name w:val="Table Grid"/>
    <w:basedOn w:val="TableNormal"/>
    <w:uiPriority w:val="59"/>
    <w:rsid w:val="00F0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0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B0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0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F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7FF"/>
    <w:pPr>
      <w:spacing w:after="0" w:line="240" w:lineRule="auto"/>
    </w:pPr>
  </w:style>
  <w:style w:type="table" w:styleId="TableGrid">
    <w:name w:val="Table Grid"/>
    <w:basedOn w:val="TableNormal"/>
    <w:uiPriority w:val="59"/>
    <w:rsid w:val="00F0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0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B0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0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Cuesta, Lorenzo@DGS</dc:creator>
  <cp:lastModifiedBy>Csmith</cp:lastModifiedBy>
  <cp:revision>4</cp:revision>
  <cp:lastPrinted>2013-08-31T02:23:00Z</cp:lastPrinted>
  <dcterms:created xsi:type="dcterms:W3CDTF">2015-08-13T17:38:00Z</dcterms:created>
  <dcterms:modified xsi:type="dcterms:W3CDTF">2015-08-17T21:51:00Z</dcterms:modified>
</cp:coreProperties>
</file>