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2B" w:rsidRPr="00524DFF" w:rsidRDefault="00524DFF">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RN1522489</w:t>
      </w:r>
      <w:r w:rsidRPr="00524DFF">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524DFF">
        <w:rPr>
          <w:rFonts w:ascii="TimesLDC" w:hAnsi="TimesLDC" w:cs="TimesLDC"/>
          <w:b/>
          <w:bCs/>
          <w:sz w:val="28"/>
          <w:szCs w:val="28"/>
        </w:rPr>
        <w:t xml:space="preserve"> 12</w:t>
      </w:r>
    </w:p>
    <w:p w:rsidR="00D0282B" w:rsidRPr="00524DFF" w:rsidRDefault="00D0282B">
      <w:pPr>
        <w:widowControl w:val="0"/>
        <w:pBdr>
          <w:top w:val="double" w:sz="6" w:space="1" w:color="auto"/>
        </w:pBdr>
        <w:rPr>
          <w:rFonts w:ascii="TimesLDC" w:hAnsi="TimesLDC" w:cs="TimesLDC"/>
        </w:rPr>
      </w:pPr>
    </w:p>
    <w:p w:rsidR="00D0282B" w:rsidRDefault="00524DFF">
      <w:pPr>
        <w:widowControl w:val="0"/>
        <w:spacing w:before="240"/>
        <w:jc w:val="center"/>
        <w:rPr>
          <w:rFonts w:ascii="TimesLDC" w:hAnsi="TimesLDC" w:cs="TimesLDC"/>
          <w:b/>
          <w:bCs/>
        </w:rPr>
      </w:pPr>
      <w:r w:rsidRPr="00524DFF">
        <w:rPr>
          <w:rFonts w:ascii="TimesLDC" w:hAnsi="TimesLDC" w:cs="TimesLDC"/>
          <w:b/>
          <w:bCs/>
        </w:rPr>
        <w:t>INTRODUCED BY SENIOR SENATOR TURNER</w:t>
      </w:r>
    </w:p>
    <w:p w:rsidR="00524DFF" w:rsidRPr="00524DFF" w:rsidRDefault="00524DFF">
      <w:pPr>
        <w:widowControl w:val="0"/>
        <w:spacing w:before="240"/>
        <w:jc w:val="center"/>
        <w:rPr>
          <w:rFonts w:ascii="TimesLDC" w:hAnsi="TimesLDC" w:cs="TimesLDC"/>
          <w:b/>
          <w:bCs/>
        </w:rPr>
      </w:pPr>
    </w:p>
    <w:p w:rsidR="00D0282B" w:rsidRPr="00524DFF" w:rsidRDefault="00524DFF">
      <w:pPr>
        <w:widowControl w:val="0"/>
        <w:suppressLineNumbers/>
        <w:spacing w:before="360" w:after="160"/>
        <w:jc w:val="center"/>
        <w:rPr>
          <w:rFonts w:ascii="TimesLDC" w:hAnsi="TimesLDC" w:cs="TimesLDC"/>
          <w:smallCaps/>
          <w:sz w:val="32"/>
          <w:szCs w:val="32"/>
        </w:rPr>
      </w:pPr>
      <w:r w:rsidRPr="00524DFF">
        <w:rPr>
          <w:rFonts w:ascii="TimesLDC" w:hAnsi="TimesLDC" w:cs="TimesLDC"/>
          <w:smallCaps/>
          <w:sz w:val="32"/>
          <w:szCs w:val="32"/>
        </w:rPr>
        <w:t>Legislative Counsel’s Digest</w:t>
      </w:r>
    </w:p>
    <w:p w:rsidR="00D0282B" w:rsidRDefault="00524DFF" w:rsidP="00524DFF">
      <w:pPr>
        <w:widowControl w:val="0"/>
        <w:suppressLineNumbers/>
        <w:ind w:firstLine="240"/>
        <w:jc w:val="center"/>
        <w:rPr>
          <w:rFonts w:ascii="TimesLDC" w:hAnsi="TimesLDC" w:cs="TimesLDC"/>
        </w:rPr>
      </w:pPr>
      <w:r>
        <w:rPr>
          <w:rFonts w:ascii="TimesLDC" w:hAnsi="TimesLDC" w:cs="TimesLDC"/>
        </w:rPr>
        <w:t>SP 12:</w:t>
      </w:r>
      <w:r w:rsidRPr="00524DFF">
        <w:rPr>
          <w:rFonts w:ascii="TimesLDC" w:hAnsi="TimesLDC" w:cs="TimesLDC"/>
        </w:rPr>
        <w:t xml:space="preserve"> </w:t>
      </w:r>
      <w:r>
        <w:rPr>
          <w:rFonts w:ascii="TimesLDC" w:hAnsi="TimesLDC" w:cs="TimesLDC"/>
        </w:rPr>
        <w:t xml:space="preserve"> </w:t>
      </w:r>
      <w:r w:rsidRPr="00524DFF">
        <w:rPr>
          <w:rFonts w:ascii="TimesLDC" w:hAnsi="TimesLDC" w:cs="TimesLDC"/>
        </w:rPr>
        <w:t>TURNER. LONG-TERM SERVICES AND SUPPORTS: REMOTE DELIVERY: PILOT PROGRAM.</w:t>
      </w:r>
    </w:p>
    <w:p w:rsidR="00524DFF" w:rsidRDefault="00524DFF" w:rsidP="00524DFF">
      <w:pPr>
        <w:widowControl w:val="0"/>
        <w:suppressLineNumbers/>
        <w:ind w:firstLine="240"/>
        <w:jc w:val="center"/>
        <w:rPr>
          <w:rFonts w:ascii="TimesLDC" w:hAnsi="TimesLDC" w:cs="TimesLDC"/>
        </w:rPr>
      </w:pPr>
    </w:p>
    <w:p w:rsidR="00524DFF" w:rsidRDefault="00524DFF" w:rsidP="00524DFF">
      <w:pPr>
        <w:widowControl w:val="0"/>
        <w:suppressLineNumbers/>
        <w:ind w:firstLine="240"/>
        <w:jc w:val="center"/>
        <w:rPr>
          <w:rFonts w:ascii="TimesLDC" w:hAnsi="TimesLDC" w:cs="TimesLDC"/>
        </w:rPr>
      </w:pPr>
    </w:p>
    <w:p w:rsidR="00524DFF" w:rsidRPr="00524DFF" w:rsidRDefault="00524DFF" w:rsidP="00524DFF">
      <w:pPr>
        <w:widowControl w:val="0"/>
        <w:suppressLineNumbers/>
        <w:ind w:firstLine="240"/>
        <w:jc w:val="center"/>
        <w:rPr>
          <w:rFonts w:ascii="TimesLDC" w:hAnsi="TimesLDC" w:cs="TimesLDC"/>
        </w:rPr>
      </w:pPr>
    </w:p>
    <w:p w:rsidR="00524DFF" w:rsidRDefault="00524DFF">
      <w:pPr>
        <w:ind w:firstLine="240"/>
        <w:rPr>
          <w:rFonts w:ascii="TimesLDC" w:hAnsi="TimesLDC" w:cs="TimesLDC"/>
        </w:rPr>
      </w:pPr>
    </w:p>
    <w:p w:rsidR="00D0282B" w:rsidRPr="00524DFF" w:rsidRDefault="00524DFF" w:rsidP="00524DFF">
      <w:pPr>
        <w:spacing w:line="480" w:lineRule="auto"/>
        <w:ind w:firstLine="720"/>
        <w:rPr>
          <w:rFonts w:ascii="TimesLDC" w:hAnsi="TimesLDC" w:cs="TimesLDC"/>
        </w:rPr>
      </w:pPr>
      <w:r w:rsidRPr="00524DFF">
        <w:rPr>
          <w:rFonts w:ascii="TimesLDC" w:hAnsi="TimesLDC" w:cs="TimesLDC"/>
        </w:rPr>
        <w:t>EXISTING LAW ESTABLISHES THE IN-HOME SUPPORTIVE SERVICE (IHSS) PROGRAM, ADMINISTERED BY THE STATE DEPARTMENT OF SOCIAL SERVICES AND COUNTIES, UNDER WHICH QUALIFIED AGED, BLIND, AND DISABLED PERSONS ARE PROVIDED WITH SPECIFIED SERVICES IN ORDER TO PERMIT THEM TO REMAIN IN THEIR OWN HOMES AND AVOID INSTITUTIONALIZATION.</w:t>
      </w:r>
    </w:p>
    <w:p w:rsidR="00D0282B" w:rsidRDefault="00524DFF" w:rsidP="00524DFF">
      <w:pPr>
        <w:spacing w:line="480" w:lineRule="auto"/>
        <w:ind w:firstLine="720"/>
        <w:rPr>
          <w:rFonts w:ascii="TimesLDC" w:hAnsi="TimesLDC" w:cs="TimesLDC"/>
        </w:rPr>
      </w:pPr>
      <w:r w:rsidRPr="00524DFF">
        <w:rPr>
          <w:rFonts w:ascii="TimesLDC" w:hAnsi="TimesLDC" w:cs="TimesLDC"/>
        </w:rPr>
        <w:t>THIS MEASURE WOULD MEMORIALIZE THE LEGISLATURE AND THE GOVERNOR TO ENACT LEGISLATION THAT WOULD CREATE A PILOT PROGRAM IN KINGS COUNTY, TULARE COUNTY, AND OTHER SUITABLE COUNTIES IN THE STATE THAT WOULD USE REMOTE MONITORING AND SENSING TECHNOLOGIES, CALL CENTERS, AND TRAINED REMOTE CARE COORDINATORS TO SUPPLEMENT EXISTING IN-HOME HEALTH CARE SERVICES BY REMOTELY DELIVERING LONG-TERM SERVICES AND SUPPORTS TO THE SENIOR POPULATION OF THOSE COUNTIES.</w:t>
      </w:r>
    </w:p>
    <w:p w:rsidR="00524DFF" w:rsidRPr="00524DFF" w:rsidRDefault="00524DFF">
      <w:pPr>
        <w:ind w:firstLine="240"/>
        <w:rPr>
          <w:rFonts w:ascii="TimesLDC" w:hAnsi="TimesLDC" w:cs="TimesLDC"/>
        </w:rPr>
      </w:pPr>
    </w:p>
    <w:p w:rsidR="00D0282B" w:rsidRDefault="00524DFF" w:rsidP="00524DFF">
      <w:pPr>
        <w:widowControl w:val="0"/>
        <w:spacing w:after="260"/>
        <w:ind w:firstLine="720"/>
        <w:rPr>
          <w:rFonts w:ascii="TimesLDC" w:hAnsi="TimesLDC" w:cs="TimesLDC"/>
        </w:rPr>
      </w:pPr>
      <w:r>
        <w:rPr>
          <w:rFonts w:ascii="TimesLDC" w:hAnsi="TimesLDC" w:cs="TimesLDC"/>
        </w:rPr>
        <w:lastRenderedPageBreak/>
        <w:t>VOTE</w:t>
      </w:r>
      <w:r w:rsidR="00700BDE">
        <w:rPr>
          <w:rFonts w:ascii="TimesLDC" w:hAnsi="TimesLDC" w:cs="TimesLDC"/>
        </w:rPr>
        <w:t xml:space="preserve">: </w:t>
      </w:r>
      <w:r>
        <w:rPr>
          <w:rFonts w:ascii="TimesLDC" w:hAnsi="TimesLDC" w:cs="TimesLDC"/>
        </w:rPr>
        <w:t xml:space="preserve"> MAJORITY.</w:t>
      </w:r>
    </w:p>
    <w:p w:rsidR="00524DFF" w:rsidRPr="00524DFF" w:rsidRDefault="00524DFF">
      <w:pPr>
        <w:widowControl w:val="0"/>
        <w:spacing w:after="260"/>
        <w:ind w:firstLine="240"/>
        <w:rPr>
          <w:rFonts w:ascii="TimesLDC" w:hAnsi="TimesLDC" w:cs="TimesLDC"/>
        </w:rPr>
      </w:pPr>
    </w:p>
    <w:p w:rsidR="00524DFF" w:rsidRDefault="00524DFF" w:rsidP="00524DFF">
      <w:pPr>
        <w:widowControl w:val="0"/>
        <w:suppressLineNumbers/>
        <w:spacing w:before="60"/>
        <w:ind w:firstLine="720"/>
        <w:jc w:val="both"/>
        <w:rPr>
          <w:rFonts w:ascii="TimesLDC" w:hAnsi="TimesLDC" w:cs="TimesLDC"/>
        </w:rPr>
      </w:pPr>
      <w:r>
        <w:rPr>
          <w:rFonts w:ascii="TimesLDC" w:hAnsi="TimesLDC" w:cs="TimesLDC"/>
        </w:rPr>
        <w:t xml:space="preserve">SP 12:  </w:t>
      </w:r>
      <w:r w:rsidRPr="00524DFF">
        <w:rPr>
          <w:rFonts w:ascii="TimesLDC" w:hAnsi="TimesLDC" w:cs="TimesLDC"/>
        </w:rPr>
        <w:t>RELATING TO LONG-TERM SERVICES AND SUPPORTS</w:t>
      </w:r>
    </w:p>
    <w:p w:rsidR="00524DFF" w:rsidRPr="00524DFF" w:rsidRDefault="00524DFF" w:rsidP="00524DFF">
      <w:pPr>
        <w:widowControl w:val="0"/>
        <w:suppressLineNumbers/>
        <w:spacing w:before="60"/>
        <w:ind w:firstLine="240"/>
        <w:jc w:val="both"/>
        <w:rPr>
          <w:rFonts w:ascii="TimesLDC" w:hAnsi="TimesLDC" w:cs="TimesLDC"/>
        </w:rPr>
      </w:pPr>
    </w:p>
    <w:p w:rsidR="00D0282B" w:rsidRPr="00524DFF" w:rsidRDefault="00524DFF" w:rsidP="00524DFF">
      <w:pPr>
        <w:spacing w:line="480" w:lineRule="auto"/>
        <w:ind w:firstLine="720"/>
        <w:jc w:val="both"/>
        <w:rPr>
          <w:rFonts w:ascii="TimesLDC" w:hAnsi="TimesLDC" w:cs="TimesLDC"/>
        </w:rPr>
      </w:pPr>
      <w:proofErr w:type="gramStart"/>
      <w:r w:rsidRPr="00524DFF">
        <w:rPr>
          <w:rFonts w:ascii="TimesLDC" w:hAnsi="TimesLDC" w:cs="TimesLDC"/>
        </w:rPr>
        <w:t>WHEREAS, THE SENIOR POPULATION IS GROWING.</w:t>
      </w:r>
      <w:proofErr w:type="gramEnd"/>
      <w:r w:rsidRPr="00524DFF">
        <w:rPr>
          <w:rFonts w:ascii="TimesLDC" w:hAnsi="TimesLDC" w:cs="TimesLDC"/>
        </w:rPr>
        <w:t xml:space="preserve"> ACCORDING TO THE UNITED STATES CENSUS BUREAU, THE NUMBER OF PERSONS 65 YEARS OF AGE AND OLDER WILL EXCEED THE NUMBER OF PERSONS 18 YEARS OF AGE AND YOUNGER FOR THE FIRST TIME IN 2050. THE NUMBER OF PERSONS 85 YEARS OF AGE AND OLDER IS PROJECTED TO QUADRUPLE BY 2050 AND COMPRISE 10 PERCENT OF THE TOTAL POPULATION, UP FROM 2.8 PERCENT IN 1980; AND</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t>WHEREAS, NINETY PERCENT OF SENIORS LIVE IN A DIFFERENT CITY FROM THEIR CLOSEST ADULT CHILD; AND</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t>WHEREAS, FIFTY PERCENT OF SENIORS 75 YEARS OF AGE AND OLDER LIVE ALONE, AND AS THEY AGE THEIR LIKELIHOOD OF LIVING ALONE INCREASES; AND</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t>WHEREAS, SENIOR ISOLATION AND LONELINESS CONTRIBUTES TO COGNITIVE DECLINE, INCREASED RISK OF DEMENTIA, ARTHRITIS, IMPAIRED MOBILITY, DEPRESSION, AND INCREASED LIKELIHOOD OF ENGAGING IN UNHEALTHY BEHAVIOR. ACCORDING TO A STUDY PUBLISHED BY THE PROCEEDINGS OF THE NATIONAL ACADEMY OF SCIENCES IN 2013, ISOLATION AND LONELINESS ARE ASSOCIATED WITH AN INCREASED RISK OF MORTALITY AMONG OLDER MEN AND WOMEN; AND</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lastRenderedPageBreak/>
        <w:t>WHEREAS, THE INCREASED HEALTH RISKS THAT ACCOMPANY SENIOR ISOLATION CREATE GREATER NEED FOR LONG-TERM CAREGIVING FOR THE SENIOR POPULATION; AND</w:t>
      </w:r>
    </w:p>
    <w:p w:rsidR="00D0282B" w:rsidRPr="00524DFF" w:rsidRDefault="00524DFF" w:rsidP="00524DFF">
      <w:pPr>
        <w:spacing w:line="480" w:lineRule="auto"/>
        <w:ind w:firstLine="720"/>
        <w:jc w:val="both"/>
        <w:rPr>
          <w:rFonts w:ascii="TimesLDC" w:hAnsi="TimesLDC" w:cs="TimesLDC"/>
        </w:rPr>
      </w:pPr>
      <w:proofErr w:type="gramStart"/>
      <w:r w:rsidRPr="00524DFF">
        <w:rPr>
          <w:rFonts w:ascii="TimesLDC" w:hAnsi="TimesLDC" w:cs="TimesLDC"/>
        </w:rPr>
        <w:t>WHEREAS, THE AVAILABILITY OF CAREGIVING RESOURCES IS BEING OVERTAKEN BY THE GROWING SENIOR POPULATION.</w:t>
      </w:r>
      <w:proofErr w:type="gramEnd"/>
      <w:r w:rsidRPr="00524DFF">
        <w:rPr>
          <w:rFonts w:ascii="TimesLDC" w:hAnsi="TimesLDC" w:cs="TimesLDC"/>
        </w:rPr>
        <w:t xml:space="preserve"> ACCORDING TO THE FAMILY CAREGIVER ALLIANCE, OVER 15,000,000 AMERICANS ARE UNPAID CAREGIVERS, AND MORE THAN 65,000,000 PEOPLE, OR 30 PERCENT OF THE ADULT POPULATION, CURRENTLY PROVIDE CARE FOR A CHRONICALLY ILL, DISABLED, OR AGING FAMILY MEMBER; AND</w:t>
      </w:r>
    </w:p>
    <w:p w:rsidR="00D0282B" w:rsidRPr="00524DFF" w:rsidRDefault="00524DFF" w:rsidP="00524DFF">
      <w:pPr>
        <w:spacing w:line="480" w:lineRule="auto"/>
        <w:ind w:firstLine="720"/>
        <w:jc w:val="both"/>
        <w:rPr>
          <w:rFonts w:ascii="TimesLDC" w:hAnsi="TimesLDC" w:cs="TimesLDC"/>
        </w:rPr>
      </w:pPr>
      <w:proofErr w:type="gramStart"/>
      <w:r w:rsidRPr="00524DFF">
        <w:rPr>
          <w:rFonts w:ascii="TimesLDC" w:hAnsi="TimesLDC" w:cs="TimesLDC"/>
        </w:rPr>
        <w:t>WHEREAS, PROFESSIONAL CAREGIVING AGENCIES ARE EXPENSIVE, AND ARE MOST EXPENSIVE ON THE WEST COAST.</w:t>
      </w:r>
      <w:proofErr w:type="gramEnd"/>
      <w:r w:rsidRPr="00524DFF">
        <w:rPr>
          <w:rFonts w:ascii="TimesLDC" w:hAnsi="TimesLDC" w:cs="TimesLDC"/>
        </w:rPr>
        <w:t xml:space="preserve"> BASED ON AVERAGE HOME CARE AGENCY RATES IN CALIFORNIA, AROUND-THE-CLOCK CARE FOR AN INDIVIDUAL CAN COST A FAMILY OVER $100,000 PER YEAR, AND OVER $21,000 PER YEAR FOR PART-TIME CARE OF 16 HOURS PER WEEK; AND</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t>WHEREAS, ACCORDING TO THE UNITED STATES CENSUS BUREAU, 6,000,000 SENIORS, OR 15 PERCENT OF THE SENIOR POPULATION, LIVE BELOW THE POVERTY LINE AND CANNOT AFFORD THE COST OF PROFESSIONAL CAREGIVING; AND</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t>WHEREAS, DESPITE THE HIGH COST OF PROFESSIONAL CAREGIVING AND THE GROWING NEED FOR HOME HEALTH SERVICES, CAREGIVERS EMPLOYED BY HOME CARE AGENCIES HAVE AN ANNUAL MEDIAN INCOME OF LESS THAN $21,000 PER YEAR, ACCORDING TO THE UNITED STATES DEPARTMENT OF LABOR; AND</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lastRenderedPageBreak/>
        <w:t>WHEREAS, THE LOW WAGES EARNED BY EMPLOYEES OF HOME CARE AGENCIES RESULTS IN TURNOVER RATES AVERAGING 60 PERCENT ON AN ANNUAL BASIS, ACCORDING TO THE PARAPROFESSIONAL HEALTHCARE INSTITUTE; AND</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t>WHEREAS, THE GROWING SENIOR POPULATION AND ASSOCIATED STRESSES PLACED UPON EXISTING CAREGIVING RESOURCES TO MEET INCREASING SENIOR HEALTH CARE NEEDS CREATE A NEED FOR PROGRAMS THAT SUPPLEMENT, EXTEND THE REACH OF, AND BETTER TARGET THE USE OF, THESE INCREASINGLY SCARCE RESOURCES; AND</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t>WHEREAS, TECHNOLOGIES SUCH AS REMOTE MONITORING AND SENSING, CALL CENTERS, AND TRAINED REMOTE CARE COORDINATORS CAN EFFICIENTLY EXTEND EXISTING CAREGIVING RESOURCES TO ALLOW SENIORS TO AGE IN PLACE WITHOUT COMPROMISING QUALITY OF LIFE AND HEALTH CARE ISSUES; NOW, THEREFORE, BE IT</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t xml:space="preserve">RESOLVED, BY THE SENIOR SENATE AND THE SENIOR ASSEMBLY, JOINTLY, THAT THE SENIOR LEGISLATURE OF THE STATE OF CALIFORNIA AT ITS 2015 REGULAR SESSION, A MAJORITY OF THE MEMBERS VOTING THEREFOR, HEREBY PROPOSES THAT THE LEGISLATURE AND THE GOVERNOR OF THE STATE OF CALIFORNIA ENACT LEGISLATION THAT WOULD CREATE A PILOT PROGRAM IN KINGS COUNTY, TULARE COUNTY, AND OTHER SUITABLE COUNTIES IN THE STATE THAT WOULD USE REMOTE MONITORING AND SENSING TECHNOLOGIES, CALL CENTERS, AND TRAINED REMOTE CARE COORDINATORS TO SUPPLEMENT </w:t>
      </w:r>
      <w:r w:rsidRPr="00524DFF">
        <w:rPr>
          <w:rFonts w:ascii="TimesLDC" w:hAnsi="TimesLDC" w:cs="TimesLDC"/>
        </w:rPr>
        <w:lastRenderedPageBreak/>
        <w:t>EXISTING IN-HOME HEALTH CARE SERVICES BY REMOTELY DELIVERING LONG-TERM SERVICES AND SUPPORTS TO THE SENIOR POPULATION OF THOSE COUNTIES; AND BE IT FURTHER</w:t>
      </w:r>
    </w:p>
    <w:p w:rsidR="00D0282B" w:rsidRPr="00524DFF" w:rsidRDefault="00524DFF" w:rsidP="00524DFF">
      <w:pPr>
        <w:spacing w:line="480" w:lineRule="auto"/>
        <w:ind w:firstLine="720"/>
        <w:jc w:val="both"/>
        <w:rPr>
          <w:rFonts w:ascii="TimesLDC" w:hAnsi="TimesLDC" w:cs="TimesLDC"/>
        </w:rPr>
      </w:pPr>
      <w:r w:rsidRPr="00524DFF">
        <w:rPr>
          <w:rFonts w:ascii="TimesLDC" w:hAnsi="TimesLDC" w:cs="TimesLDC"/>
        </w:rPr>
        <w:t>RESOLVED, THAT A COPY OF THIS MEASURE BE TRANSMITTED TO THE PRESIDENT PRO TEMPORE OF THE SENATE, THE SPEAKER OF THE ASSEMBLY, AND THE GOVERNOR OF THE STATE OF CALIFORNIA.</w:t>
      </w:r>
    </w:p>
    <w:sectPr w:rsidR="00D0282B" w:rsidRPr="00524DFF" w:rsidSect="00524DFF">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FF"/>
    <w:rsid w:val="00524DFF"/>
    <w:rsid w:val="00700BDE"/>
    <w:rsid w:val="00A307CD"/>
    <w:rsid w:val="00D0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524DFF"/>
    <w:rPr>
      <w:rFonts w:ascii="Tahoma" w:hAnsi="Tahoma" w:cs="Tahoma"/>
      <w:sz w:val="16"/>
      <w:szCs w:val="16"/>
    </w:rPr>
  </w:style>
  <w:style w:type="character" w:customStyle="1" w:styleId="BalloonTextChar">
    <w:name w:val="Balloon Text Char"/>
    <w:basedOn w:val="DefaultParagraphFont"/>
    <w:link w:val="BalloonText"/>
    <w:uiPriority w:val="99"/>
    <w:semiHidden/>
    <w:rsid w:val="00524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524DFF"/>
    <w:rPr>
      <w:rFonts w:ascii="Tahoma" w:hAnsi="Tahoma" w:cs="Tahoma"/>
      <w:sz w:val="16"/>
      <w:szCs w:val="16"/>
    </w:rPr>
  </w:style>
  <w:style w:type="character" w:customStyle="1" w:styleId="BalloonTextChar">
    <w:name w:val="Balloon Text Char"/>
    <w:basedOn w:val="DefaultParagraphFont"/>
    <w:link w:val="BalloonText"/>
    <w:uiPriority w:val="99"/>
    <w:semiHidden/>
    <w:rsid w:val="00524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2015-07-14T21:43:00Z</cp:lastPrinted>
  <dcterms:created xsi:type="dcterms:W3CDTF">2015-09-08T19:53:00Z</dcterms:created>
  <dcterms:modified xsi:type="dcterms:W3CDTF">2015-09-08T19:53:00Z</dcterms:modified>
</cp:coreProperties>
</file>